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B45EFA">
      <w:pPr>
        <w:bidi w:val="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5B86E348">
      <w:pPr>
        <w:bidi w:val="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1C50D119">
      <w:pPr>
        <w:bidi w:val="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27FE762E">
      <w:pPr>
        <w:bidi w:val="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501AA5A8">
      <w:pPr>
        <w:bidi w:val="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5E098695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  <w:lang w:val="en-US" w:eastAsia="zh-CN"/>
        </w:rPr>
      </w:pPr>
    </w:p>
    <w:p w14:paraId="2A14029A">
      <w:pPr>
        <w:bidi w:val="0"/>
        <w:jc w:val="center"/>
        <w:rPr>
          <w:rFonts w:hint="eastAsia" w:ascii="方正小标宋简体" w:hAnsi="方正小标宋简体" w:eastAsia="方正小标宋简体" w:cs="方正小标宋简体"/>
          <w:sz w:val="52"/>
          <w:szCs w:val="5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52"/>
          <w:szCs w:val="52"/>
          <w:lang w:val="en-US" w:eastAsia="zh-CN"/>
        </w:rPr>
        <w:t>8.0新系统国有资产</w:t>
      </w:r>
    </w:p>
    <w:p w14:paraId="77B4F8B5">
      <w:pPr>
        <w:bidi w:val="0"/>
        <w:jc w:val="center"/>
        <w:rPr>
          <w:rFonts w:hint="eastAsia" w:ascii="方正小标宋简体" w:hAnsi="方正小标宋简体" w:eastAsia="方正小标宋简体" w:cs="方正小标宋简体"/>
          <w:sz w:val="52"/>
          <w:szCs w:val="5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52"/>
          <w:szCs w:val="52"/>
          <w:lang w:val="en-US" w:eastAsia="zh-CN"/>
        </w:rPr>
        <w:t>竞买人操作手册</w:t>
      </w:r>
    </w:p>
    <w:p w14:paraId="59A5236A">
      <w:pPr>
        <w:bidi w:val="0"/>
        <w:rPr>
          <w:rFonts w:hint="default" w:ascii="Times New Roman" w:hAnsi="Times New Roman" w:cs="Times New Roman"/>
          <w:lang w:val="en-US" w:eastAsia="zh-CN"/>
        </w:rPr>
      </w:pPr>
    </w:p>
    <w:p w14:paraId="53491289">
      <w:pPr>
        <w:bidi w:val="0"/>
        <w:rPr>
          <w:rFonts w:hint="default" w:ascii="Times New Roman" w:hAnsi="Times New Roman" w:cs="Times New Roman"/>
          <w:lang w:val="en-US" w:eastAsia="zh-CN"/>
        </w:rPr>
      </w:pPr>
    </w:p>
    <w:p w14:paraId="4D70D850">
      <w:pPr>
        <w:bidi w:val="0"/>
        <w:rPr>
          <w:rFonts w:hint="default" w:ascii="Times New Roman" w:hAnsi="Times New Roman" w:cs="Times New Roman"/>
          <w:lang w:val="en-US" w:eastAsia="zh-CN"/>
        </w:rPr>
      </w:pPr>
    </w:p>
    <w:p w14:paraId="0CBDBFAB">
      <w:pPr>
        <w:bidi w:val="0"/>
        <w:rPr>
          <w:rFonts w:hint="default" w:ascii="Times New Roman" w:hAnsi="Times New Roman" w:cs="Times New Roman"/>
          <w:lang w:val="en-US" w:eastAsia="zh-CN"/>
        </w:rPr>
      </w:pPr>
    </w:p>
    <w:p w14:paraId="4176E3F3">
      <w:pPr>
        <w:bidi w:val="0"/>
        <w:rPr>
          <w:rFonts w:hint="default" w:ascii="Times New Roman" w:hAnsi="Times New Roman" w:cs="Times New Roman"/>
          <w:lang w:val="en-US" w:eastAsia="zh-CN"/>
        </w:rPr>
      </w:pPr>
    </w:p>
    <w:p w14:paraId="3889E05C">
      <w:pPr>
        <w:bidi w:val="0"/>
        <w:rPr>
          <w:rFonts w:hint="default" w:ascii="Times New Roman" w:hAnsi="Times New Roman" w:cs="Times New Roman"/>
          <w:lang w:val="en-US" w:eastAsia="zh-CN"/>
        </w:rPr>
      </w:pPr>
    </w:p>
    <w:p w14:paraId="4D799BE9">
      <w:pPr>
        <w:bidi w:val="0"/>
        <w:rPr>
          <w:rFonts w:hint="default" w:ascii="Times New Roman" w:hAnsi="Times New Roman" w:cs="Times New Roman"/>
          <w:lang w:val="en-US" w:eastAsia="zh-CN"/>
        </w:rPr>
      </w:pPr>
    </w:p>
    <w:p w14:paraId="4F3B5E52">
      <w:pPr>
        <w:bidi w:val="0"/>
        <w:rPr>
          <w:rFonts w:hint="default" w:ascii="Times New Roman" w:hAnsi="Times New Roman" w:cs="Times New Roman"/>
          <w:lang w:val="en-US" w:eastAsia="zh-CN"/>
        </w:rPr>
      </w:pPr>
    </w:p>
    <w:p w14:paraId="2E5BA5AB">
      <w:pPr>
        <w:bidi w:val="0"/>
        <w:rPr>
          <w:rFonts w:hint="default" w:ascii="Times New Roman" w:hAnsi="Times New Roman" w:cs="Times New Roman"/>
          <w:lang w:val="en-US" w:eastAsia="zh-CN"/>
        </w:rPr>
      </w:pPr>
    </w:p>
    <w:p w14:paraId="728B3642">
      <w:pPr>
        <w:rPr>
          <w:rFonts w:hint="default" w:ascii="Times New Roman" w:hAnsi="Times New Roman" w:cs="Times New Roman"/>
          <w:lang w:val="en-US" w:eastAsia="zh-CN"/>
        </w:rPr>
      </w:pPr>
    </w:p>
    <w:p w14:paraId="19D6A558">
      <w:pPr>
        <w:rPr>
          <w:rFonts w:hint="default" w:ascii="Times New Roman" w:hAnsi="Times New Roman" w:cs="Times New Roman"/>
          <w:lang w:val="en-US" w:eastAsia="zh-CN"/>
        </w:rPr>
      </w:pPr>
    </w:p>
    <w:p w14:paraId="4BF996FF">
      <w:pPr>
        <w:rPr>
          <w:rFonts w:hint="default" w:ascii="Times New Roman" w:hAnsi="Times New Roman" w:cs="Times New Roman"/>
          <w:lang w:val="en-US" w:eastAsia="zh-CN"/>
        </w:rPr>
      </w:pPr>
    </w:p>
    <w:p w14:paraId="58F466B0">
      <w:pPr>
        <w:rPr>
          <w:rFonts w:hint="default" w:ascii="Times New Roman" w:hAnsi="Times New Roman" w:cs="Times New Roman"/>
          <w:lang w:val="en-US" w:eastAsia="zh-CN"/>
        </w:rPr>
      </w:pPr>
    </w:p>
    <w:p w14:paraId="11AA3CF4">
      <w:pPr>
        <w:rPr>
          <w:rFonts w:hint="default" w:ascii="Times New Roman" w:hAnsi="Times New Roman" w:cs="Times New Roman"/>
          <w:lang w:val="en-US" w:eastAsia="zh-CN"/>
        </w:rPr>
      </w:pPr>
    </w:p>
    <w:p w14:paraId="16CF9C2C">
      <w:pPr>
        <w:rPr>
          <w:rFonts w:hint="default" w:ascii="Times New Roman" w:hAnsi="Times New Roman" w:cs="Times New Roman"/>
          <w:lang w:val="en-US" w:eastAsia="zh-CN"/>
        </w:rPr>
      </w:pPr>
    </w:p>
    <w:p w14:paraId="17A73CE0">
      <w:pPr>
        <w:rPr>
          <w:rFonts w:hint="default" w:ascii="Times New Roman" w:hAnsi="Times New Roman" w:cs="Times New Roman"/>
          <w:lang w:val="en-US" w:eastAsia="zh-CN"/>
        </w:rPr>
      </w:pPr>
    </w:p>
    <w:p w14:paraId="4F134FF3">
      <w:pPr>
        <w:rPr>
          <w:rFonts w:hint="default" w:ascii="Times New Roman" w:hAnsi="Times New Roman" w:cs="Times New Roman"/>
          <w:lang w:val="en-US" w:eastAsia="zh-CN"/>
        </w:rPr>
      </w:pPr>
    </w:p>
    <w:p w14:paraId="162B33AC">
      <w:pPr>
        <w:rPr>
          <w:rFonts w:hint="default" w:ascii="Times New Roman" w:hAnsi="Times New Roman" w:cs="Times New Roman"/>
          <w:lang w:val="en-US" w:eastAsia="zh-CN"/>
        </w:rPr>
      </w:pPr>
    </w:p>
    <w:p w14:paraId="1FB5B9EC">
      <w:pPr>
        <w:rPr>
          <w:rFonts w:hint="default" w:ascii="Times New Roman" w:hAnsi="Times New Roman" w:cs="Times New Roman"/>
          <w:lang w:val="en-US" w:eastAsia="zh-CN"/>
        </w:rPr>
      </w:pPr>
    </w:p>
    <w:p w14:paraId="3DB70024">
      <w:pPr>
        <w:rPr>
          <w:rFonts w:hint="default" w:ascii="Times New Roman" w:hAnsi="Times New Roman" w:cs="Times New Roman"/>
          <w:lang w:val="en-US" w:eastAsia="zh-CN"/>
        </w:rPr>
      </w:pPr>
    </w:p>
    <w:p w14:paraId="66176304">
      <w:pPr>
        <w:rPr>
          <w:rFonts w:hint="default" w:ascii="Times New Roman" w:hAnsi="Times New Roman" w:cs="Times New Roman"/>
          <w:lang w:val="en-US" w:eastAsia="zh-CN"/>
        </w:rPr>
      </w:pPr>
    </w:p>
    <w:p w14:paraId="5BE6896D">
      <w:pPr>
        <w:rPr>
          <w:rFonts w:hint="default" w:ascii="Times New Roman" w:hAnsi="Times New Roman" w:cs="Times New Roman"/>
          <w:lang w:val="en-US" w:eastAsia="zh-CN"/>
        </w:rPr>
      </w:pPr>
    </w:p>
    <w:p w14:paraId="4A27753C">
      <w:pPr>
        <w:rPr>
          <w:rFonts w:hint="default" w:ascii="Times New Roman" w:hAnsi="Times New Roman" w:cs="Times New Roman"/>
          <w:lang w:val="en-US" w:eastAsia="zh-CN"/>
        </w:rPr>
      </w:pPr>
    </w:p>
    <w:p w14:paraId="4951AD89">
      <w:pPr>
        <w:rPr>
          <w:rFonts w:hint="default" w:ascii="Times New Roman" w:hAnsi="Times New Roman" w:cs="Times New Roman"/>
          <w:lang w:val="en-US" w:eastAsia="zh-CN"/>
        </w:rPr>
      </w:pPr>
    </w:p>
    <w:p w14:paraId="37F4035A">
      <w:pPr>
        <w:rPr>
          <w:rFonts w:hint="default" w:ascii="Times New Roman" w:hAnsi="Times New Roman" w:cs="Times New Roman"/>
          <w:lang w:val="en-US" w:eastAsia="zh-CN"/>
        </w:rPr>
      </w:pPr>
    </w:p>
    <w:p w14:paraId="43620286">
      <w:pPr>
        <w:pStyle w:val="2"/>
        <w:bidi w:val="0"/>
        <w:jc w:val="left"/>
        <w:rPr>
          <w:rFonts w:hint="default" w:ascii="Times New Roman" w:hAnsi="Times New Roman" w:eastAsia="方正黑体_GBK" w:cs="Times New Roman"/>
          <w:b w:val="0"/>
          <w:bCs/>
          <w:sz w:val="32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16AC8ADA">
      <w:pPr>
        <w:pStyle w:val="2"/>
        <w:bidi w:val="0"/>
        <w:jc w:val="center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b/>
          <w:bCs w:val="0"/>
          <w:sz w:val="32"/>
          <w:szCs w:val="32"/>
          <w:lang w:val="en-US" w:eastAsia="zh-CN"/>
        </w:rPr>
        <w:t>一、登录系统</w:t>
      </w:r>
    </w:p>
    <w:p w14:paraId="3611D798">
      <w:pPr>
        <w:jc w:val="both"/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 xml:space="preserve">1.1 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新用户注册</w:t>
      </w:r>
    </w:p>
    <w:p w14:paraId="0294B974"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1.1.1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登录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达州市公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共资源交易服务中心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官网主页，点击“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用户注册登录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”</w:t>
      </w:r>
    </w:p>
    <w:p w14:paraId="5A48BFE4"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drawing>
          <wp:inline distT="0" distB="0" distL="114300" distR="114300">
            <wp:extent cx="5267325" cy="2787650"/>
            <wp:effectExtent l="0" t="0" r="9525" b="1270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0BFC0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1.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1.2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确认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用户协议后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点击“同意”</w:t>
      </w:r>
    </w:p>
    <w:p w14:paraId="7DA72E6B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4300855"/>
            <wp:effectExtent l="0" t="0" r="1016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F358F">
      <w:pPr>
        <w:jc w:val="left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1.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1.3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进入注册页面，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填写对应相关信息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后点“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立即注册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”</w:t>
      </w:r>
    </w:p>
    <w:p w14:paraId="3A06D010"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4775200" cy="4616450"/>
            <wp:effectExtent l="0" t="0" r="6350" b="1270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7"/>
                    <a:srcRect b="5462"/>
                    <a:stretch>
                      <a:fillRect/>
                    </a:stretch>
                  </pic:blipFill>
                  <pic:spPr>
                    <a:xfrm>
                      <a:off x="0" y="0"/>
                      <a:ext cx="4775200" cy="46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178BB">
      <w:pPr>
        <w:jc w:val="both"/>
        <w:rPr>
          <w:rFonts w:hint="default" w:ascii="Times New Roman" w:hAnsi="Times New Roman" w:eastAsia="方正仿宋_GBK" w:cs="Times New Roman"/>
          <w:color w:val="FF000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1.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1.4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在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交易乙方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信息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管理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—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&gt;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基本信息中点击“修改信息”，完善相关信息并在扫描件管理中上传扫描件后点击下一步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验证通过后重新登录</w:t>
      </w:r>
    </w:p>
    <w:p w14:paraId="636F1BC9">
      <w:pPr>
        <w:jc w:val="both"/>
      </w:pPr>
      <w:r>
        <w:drawing>
          <wp:inline distT="0" distB="0" distL="114300" distR="114300">
            <wp:extent cx="5266690" cy="2853055"/>
            <wp:effectExtent l="0" t="0" r="1016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D6E62"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drawing>
          <wp:inline distT="0" distB="0" distL="114300" distR="114300">
            <wp:extent cx="5266690" cy="2853055"/>
            <wp:effectExtent l="0" t="0" r="10160" b="444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FCD36"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7A614E8C">
      <w:pPr>
        <w:jc w:val="both"/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1.2 已注册用户登录（包含老系统账号）</w:t>
      </w:r>
    </w:p>
    <w:p w14:paraId="758EFA32">
      <w:pPr>
        <w:jc w:val="both"/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通过输入账号密码或使用CA锁登录系统，并选择对应身份进入系统</w:t>
      </w:r>
    </w:p>
    <w:p w14:paraId="6F30B358">
      <w:pPr>
        <w:jc w:val="both"/>
      </w:pPr>
      <w:r>
        <w:drawing>
          <wp:inline distT="0" distB="0" distL="114300" distR="114300">
            <wp:extent cx="5267325" cy="2571750"/>
            <wp:effectExtent l="0" t="0" r="9525" b="0"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116DF">
      <w:pPr>
        <w:jc w:val="both"/>
      </w:pPr>
    </w:p>
    <w:p w14:paraId="2D08558A">
      <w:pPr>
        <w:jc w:val="both"/>
      </w:pPr>
      <w:r>
        <w:drawing>
          <wp:inline distT="0" distB="0" distL="114300" distR="114300">
            <wp:extent cx="5267325" cy="2577465"/>
            <wp:effectExtent l="0" t="0" r="9525" b="13335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1B1BD">
      <w:pPr>
        <w:jc w:val="both"/>
      </w:pPr>
    </w:p>
    <w:p w14:paraId="5F1E24E3">
      <w:pPr>
        <w:jc w:val="both"/>
      </w:pPr>
      <w:r>
        <w:drawing>
          <wp:inline distT="0" distB="0" distL="114300" distR="114300">
            <wp:extent cx="5267325" cy="2577465"/>
            <wp:effectExtent l="0" t="0" r="9525" b="13335"/>
            <wp:docPr id="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53A83">
      <w:pPr>
        <w:ind w:firstLine="640" w:firstLineChars="200"/>
        <w:jc w:val="both"/>
        <w:rPr>
          <w:rFonts w:hint="default" w:ascii="Times New Roman" w:hAnsi="Times New Roman" w:eastAsia="方正仿宋_GBK" w:cs="Times New Roman"/>
          <w:color w:val="FF000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在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交易乙方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信息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管理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—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&gt;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基本信息中点击“修改信息”，完善相关信息并在扫描件管理中上传扫描件后点击下一步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验证通过后重新登录</w:t>
      </w:r>
    </w:p>
    <w:p w14:paraId="508A8E37"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drawing>
          <wp:inline distT="0" distB="0" distL="114300" distR="114300">
            <wp:extent cx="5266690" cy="2853055"/>
            <wp:effectExtent l="0" t="0" r="10160" b="444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FEE1C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6690" cy="2853055"/>
            <wp:effectExtent l="0" t="0" r="10160" b="4445"/>
            <wp:docPr id="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B067F">
      <w:pPr>
        <w:jc w:val="both"/>
      </w:pPr>
    </w:p>
    <w:p w14:paraId="43CA46A1">
      <w:pPr>
        <w:jc w:val="both"/>
        <w:rPr>
          <w:rFonts w:hint="default"/>
          <w:lang w:val="en-US" w:eastAsia="zh-CN"/>
        </w:rPr>
      </w:pPr>
    </w:p>
    <w:p w14:paraId="44169C75">
      <w:pPr>
        <w:jc w:val="both"/>
        <w:rPr>
          <w:rFonts w:hint="default" w:ascii="Times New Roman" w:hAnsi="Times New Roman" w:eastAsia="方正仿宋_GBK" w:cs="Times New Roman"/>
          <w:b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/>
          <w:bCs w:val="0"/>
          <w:sz w:val="32"/>
          <w:szCs w:val="32"/>
          <w:lang w:val="en-US" w:eastAsia="zh-CN"/>
        </w:rPr>
        <w:t>1.3</w:t>
      </w:r>
      <w:r>
        <w:rPr>
          <w:rFonts w:hint="default" w:ascii="Times New Roman" w:hAnsi="Times New Roman" w:eastAsia="方正仿宋_GBK" w:cs="Times New Roman"/>
          <w:b/>
          <w:bCs w:val="0"/>
          <w:sz w:val="32"/>
          <w:szCs w:val="32"/>
          <w:lang w:val="en-US" w:eastAsia="zh-CN"/>
        </w:rPr>
        <w:t xml:space="preserve"> 四川省CA互联互通驱动4.0安装</w:t>
      </w:r>
    </w:p>
    <w:p w14:paraId="7FF27062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1.3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.1 在登录界面点击“驱动下载”按钮</w:t>
      </w:r>
    </w:p>
    <w:p w14:paraId="4414197E"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382520"/>
            <wp:effectExtent l="0" t="0" r="10160" b="17780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7C72D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1.3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.2 点击下载驱动</w:t>
      </w:r>
    </w:p>
    <w:p w14:paraId="68A0168A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5274310" cy="1698625"/>
            <wp:effectExtent l="0" t="0" r="2540" b="15875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rcRect b="135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2C9E8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1.3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.3 打开驱动，点击快速安装</w:t>
      </w:r>
    </w:p>
    <w:p w14:paraId="7DEC9821">
      <w:pPr>
        <w:jc w:val="center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560705" cy="514985"/>
            <wp:effectExtent l="0" t="0" r="10795" b="18415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705" cy="5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FC0B6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5269865" cy="3946525"/>
            <wp:effectExtent l="0" t="0" r="6985" b="15875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4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D152E">
      <w:pPr>
        <w:bidi w:val="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56884A85">
      <w:pPr>
        <w:pStyle w:val="2"/>
        <w:bidi w:val="0"/>
        <w:jc w:val="center"/>
        <w:rPr>
          <w:rFonts w:hint="default" w:ascii="Times New Roman" w:hAnsi="Times New Roman" w:eastAsia="方正黑体_GBK" w:cs="Times New Roman"/>
          <w:b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b/>
          <w:bCs w:val="0"/>
          <w:sz w:val="32"/>
          <w:szCs w:val="32"/>
          <w:lang w:val="en-US" w:eastAsia="zh-CN"/>
        </w:rPr>
        <w:t>二、进入对应项目</w:t>
      </w:r>
    </w:p>
    <w:p w14:paraId="08DCE77D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2.1 点击“招标公告”—&gt;“产权交易”将鼠标移动到对应项目上点击“进入项目”即可进</w:t>
      </w:r>
      <w:bookmarkStart w:id="0" w:name="_GoBack"/>
      <w:bookmarkEnd w:id="0"/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入操作页面</w:t>
      </w:r>
    </w:p>
    <w:p w14:paraId="46B63EA0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2880" cy="2089785"/>
            <wp:effectExtent l="0" t="0" r="762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67093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02D97B32">
      <w:pPr>
        <w:pStyle w:val="2"/>
        <w:bidi w:val="0"/>
        <w:jc w:val="center"/>
        <w:rPr>
          <w:rFonts w:hint="default" w:ascii="Times New Roman" w:hAnsi="Times New Roman" w:eastAsia="方正黑体_GBK" w:cs="Times New Roman"/>
          <w:b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b/>
          <w:bCs w:val="0"/>
          <w:sz w:val="32"/>
          <w:szCs w:val="32"/>
          <w:lang w:val="en-US" w:eastAsia="zh-CN"/>
        </w:rPr>
        <w:t>三、阅读报名规则</w:t>
      </w:r>
    </w:p>
    <w:p w14:paraId="797DF91C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3.1 进入操作页面首先需要阅读报名规则，阅读完毕后点击页面下方的“同意”按钮即可进入报名页面</w:t>
      </w:r>
    </w:p>
    <w:p w14:paraId="3D1734A2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3040" cy="2219325"/>
            <wp:effectExtent l="0" t="0" r="1016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4A365">
      <w:pPr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434CE6D6">
      <w:pPr>
        <w:pStyle w:val="2"/>
        <w:bidi w:val="0"/>
        <w:jc w:val="center"/>
        <w:rPr>
          <w:rFonts w:hint="default" w:ascii="Times New Roman" w:hAnsi="Times New Roman" w:eastAsia="方正黑体_GBK" w:cs="Times New Roman"/>
          <w:b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b/>
          <w:bCs w:val="0"/>
          <w:sz w:val="32"/>
          <w:szCs w:val="32"/>
          <w:lang w:val="en-US" w:eastAsia="zh-CN"/>
        </w:rPr>
        <w:t>四、项目报名</w:t>
      </w:r>
    </w:p>
    <w:p w14:paraId="27F93735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4.1 进入项目报名页面需填写对应报名信息</w:t>
      </w:r>
    </w:p>
    <w:p w14:paraId="28F9A426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1159510"/>
            <wp:effectExtent l="0" t="0" r="381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67567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4.2 填写完报名信息后需点击页面上方的“确认报名信息”按钮，即可成功保存报名信息</w:t>
      </w:r>
    </w:p>
    <w:p w14:paraId="5A161486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5420" cy="2218690"/>
            <wp:effectExtent l="0" t="0" r="508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0620B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4.3 确认报名信息后，点击页面最下方的“下一步”按钮，即可进入“交易文件领取”步骤</w:t>
      </w:r>
    </w:p>
    <w:p w14:paraId="60622E8A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4150" cy="1478280"/>
            <wp:effectExtent l="0" t="0" r="635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C39C3">
      <w:pPr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034F2493">
      <w:pPr>
        <w:pStyle w:val="2"/>
        <w:bidi w:val="0"/>
        <w:jc w:val="center"/>
        <w:rPr>
          <w:rFonts w:hint="default" w:ascii="Times New Roman" w:hAnsi="Times New Roman" w:eastAsia="方正黑体_GBK" w:cs="Times New Roman"/>
          <w:b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b/>
          <w:bCs w:val="0"/>
          <w:sz w:val="32"/>
          <w:szCs w:val="32"/>
          <w:lang w:val="en-US" w:eastAsia="zh-CN"/>
        </w:rPr>
        <w:t>五、交易文件领取</w:t>
      </w:r>
    </w:p>
    <w:p w14:paraId="35887C44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5.1 进入交易文件领取页面，点击下载按钮即可下载交易文件；下载完成后点击“下一步”即可进入保证金缴纳及查询步骤</w:t>
      </w:r>
    </w:p>
    <w:p w14:paraId="185BDB14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199005"/>
            <wp:effectExtent l="0" t="0" r="3810" b="1079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1980A">
      <w:pPr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758C09AA">
      <w:pPr>
        <w:pStyle w:val="2"/>
        <w:bidi w:val="0"/>
        <w:jc w:val="center"/>
        <w:rPr>
          <w:rFonts w:hint="default" w:ascii="Times New Roman" w:hAnsi="Times New Roman" w:eastAsia="方正黑体_GBK" w:cs="Times New Roman"/>
          <w:b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b/>
          <w:bCs w:val="0"/>
          <w:sz w:val="32"/>
          <w:szCs w:val="32"/>
          <w:lang w:val="en-US" w:eastAsia="zh-CN"/>
        </w:rPr>
        <w:t>六、保证金缴纳及查询</w:t>
      </w:r>
    </w:p>
    <w:p w14:paraId="09612755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6.1 进入保证金缴纳及查询页面后，首先需要根据个人实际情况选择保证金缴纳银行，选择后点击“生成子账号”按钮即可跳转到保证金缴纳页面</w:t>
      </w:r>
    </w:p>
    <w:p w14:paraId="05C79BED">
      <w:pPr>
        <w:rPr>
          <w:rFonts w:hint="default" w:ascii="Times New Roman" w:hAnsi="Times New Roman" w:eastAsia="方正仿宋_GBK" w:cs="Times New Roman"/>
          <w:color w:val="FF00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FF0000"/>
          <w:sz w:val="32"/>
          <w:szCs w:val="32"/>
          <w:lang w:val="en-US" w:eastAsia="zh-CN"/>
        </w:rPr>
        <w:t>注：生成子账号后就不能再重新选择银行</w:t>
      </w:r>
    </w:p>
    <w:p w14:paraId="520E7E7F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2880" cy="1922780"/>
            <wp:effectExtent l="0" t="0" r="762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FD238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6.2 进入保证金缴纳页面，可以看到保证金子账号等信息，根据页面上显示的信息缴纳保证金。缴纳完成后点击页面下方的“保证金查询”按钮可以进入保证金查询页面，查询成功后点击“打印回执”，可以打印回执</w:t>
      </w:r>
    </w:p>
    <w:p w14:paraId="48B28BA7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FF0000"/>
          <w:sz w:val="32"/>
          <w:szCs w:val="32"/>
          <w:lang w:val="en-US" w:eastAsia="zh-CN"/>
        </w:rPr>
        <w:t>注：必须使用当前报名单位在基本信息中填写的基本户进行缴纳，否则会影响保证金查询</w:t>
      </w:r>
    </w:p>
    <w:p w14:paraId="780C1EC6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2405" cy="1899920"/>
            <wp:effectExtent l="0" t="0" r="10795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B28BA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6.3 进入保证金查询页面，点击“缴纳查询”按钮即可查询保证金，若缴纳成功，可点击对应记录后方的打印凭证图标按钮打印保证金缴纳凭证。</w:t>
      </w:r>
    </w:p>
    <w:p w14:paraId="608B686D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3040" cy="2063750"/>
            <wp:effectExtent l="0" t="0" r="1016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855AB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5420" cy="734060"/>
            <wp:effectExtent l="0" t="0" r="508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60BD6">
      <w:pPr>
        <w:bidi w:val="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39049FA2">
      <w:pPr>
        <w:bidi w:val="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05342120">
      <w:pPr>
        <w:bidi w:val="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49E7CD15">
      <w:pPr>
        <w:bidi w:val="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02F16E28">
      <w:pPr>
        <w:pStyle w:val="2"/>
        <w:bidi w:val="0"/>
        <w:jc w:val="center"/>
        <w:rPr>
          <w:rFonts w:hint="default" w:ascii="Times New Roman" w:hAnsi="Times New Roman" w:eastAsia="方正黑体_GBK" w:cs="Times New Roman"/>
          <w:b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b/>
          <w:bCs w:val="0"/>
          <w:sz w:val="32"/>
          <w:szCs w:val="32"/>
          <w:lang w:val="en-US" w:eastAsia="zh-CN"/>
        </w:rPr>
        <w:t>七、资格审查（仅针对网上竞价项目）</w:t>
      </w:r>
    </w:p>
    <w:p w14:paraId="60713D53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7.1 保证金缴纳并查询成功后，点击“下一步”可进入资格审查编辑页面，在编辑页面可以上传资格审查资料，上传完成后点击“提交”按钮即可提交资格审查</w:t>
      </w:r>
    </w:p>
    <w:p w14:paraId="0DD37124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2880" cy="1574800"/>
            <wp:effectExtent l="0" t="0" r="762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1AE84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7.2 资格审查提交后，提交按钮会变为“撤回”按钮，在开标时间前可以撤回修改并重新提交</w:t>
      </w:r>
    </w:p>
    <w:p w14:paraId="2579C35F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8595" cy="1862455"/>
            <wp:effectExtent l="0" t="0" r="1905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5719F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7.3 资格审查页面下方可以查看资格审查结果，审查通过后点击“下一步”可以进入网上竞价页面</w:t>
      </w:r>
    </w:p>
    <w:p w14:paraId="4C95510E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7960" cy="1898015"/>
            <wp:effectExtent l="0" t="0" r="2540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9B7E1">
      <w:pPr>
        <w:pStyle w:val="2"/>
        <w:bidi w:val="0"/>
        <w:jc w:val="center"/>
        <w:rPr>
          <w:rFonts w:hint="default" w:ascii="Times New Roman" w:hAnsi="Times New Roman" w:eastAsia="方正黑体_GBK" w:cs="Times New Roman"/>
          <w:b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b/>
          <w:bCs w:val="0"/>
          <w:sz w:val="32"/>
          <w:szCs w:val="32"/>
          <w:lang w:val="en-US" w:eastAsia="zh-CN"/>
        </w:rPr>
        <w:t>八、网上竞价（仅针对网上竞价项目）</w:t>
      </w:r>
    </w:p>
    <w:p w14:paraId="482E543B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8.1 当竞价开始时间到了之后，点击“进入竞价系统”即可进入竞价系统进行竞价</w:t>
      </w:r>
    </w:p>
    <w:p w14:paraId="49D0CE20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055" cy="2068195"/>
            <wp:effectExtent l="0" t="0" r="4445" b="19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0B700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8.2 进入竞价系统后可以选择报价倍数（即竞价阶梯倍数），然后点击“提交报价”就可以成功报价</w:t>
      </w:r>
    </w:p>
    <w:p w14:paraId="1F8C63ED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0500" cy="29083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C47B7">
      <w:pPr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7FDADE49">
      <w:pPr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6E262C56">
      <w:pPr>
        <w:pStyle w:val="2"/>
        <w:bidi w:val="0"/>
        <w:jc w:val="center"/>
        <w:rPr>
          <w:rFonts w:hint="default" w:ascii="Times New Roman" w:hAnsi="Times New Roman" w:eastAsia="方正黑体_GBK" w:cs="Times New Roman"/>
          <w:b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b/>
          <w:bCs w:val="0"/>
          <w:sz w:val="32"/>
          <w:szCs w:val="32"/>
          <w:lang w:val="en-US" w:eastAsia="zh-CN"/>
        </w:rPr>
        <w:t>九、打印成交确认书（仅针对中标单位）</w:t>
      </w:r>
    </w:p>
    <w:p w14:paraId="1896ACAB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9.1 点击“打印成交确认书”按钮进入打印详情页面</w:t>
      </w:r>
    </w:p>
    <w:p w14:paraId="5E3FA210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4310" cy="1913255"/>
            <wp:effectExtent l="0" t="0" r="889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E1844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9.2 待交易中心确认后即可点击打印成交确认书图标按钮</w:t>
      </w:r>
    </w:p>
    <w:p w14:paraId="119D2264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9230" cy="2061210"/>
            <wp:effectExtent l="0" t="0" r="1270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AA447">
      <w:pPr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75CFD3F4">
      <w:pPr>
        <w:pStyle w:val="2"/>
        <w:bidi w:val="0"/>
        <w:jc w:val="center"/>
        <w:rPr>
          <w:rFonts w:hint="default" w:ascii="Times New Roman" w:hAnsi="Times New Roman" w:eastAsia="方正黑体_GBK" w:cs="Times New Roman"/>
          <w:b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b/>
          <w:bCs w:val="0"/>
          <w:sz w:val="32"/>
          <w:szCs w:val="32"/>
          <w:lang w:val="en-US" w:eastAsia="zh-CN"/>
        </w:rPr>
        <w:t>十、保证金退款（仅针对中标单位）</w:t>
      </w:r>
    </w:p>
    <w:p w14:paraId="7D161093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10.1 点击“保证金退款”即可进入保证金退款编辑页面</w:t>
      </w:r>
    </w:p>
    <w:p w14:paraId="55D99F51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2405" cy="1570355"/>
            <wp:effectExtent l="0" t="0" r="10795" b="444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7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67044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10.2 在编辑页面上传合同等材料后即可提交审核，审核通过后保证金退款公告会展示到网站对应栏目</w:t>
      </w:r>
    </w:p>
    <w:p w14:paraId="0BDAA40D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7325" cy="2127885"/>
            <wp:effectExtent l="0" t="0" r="3175" b="571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51D91">
      <w:pPr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397FFA3B">
      <w:pPr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33A10BFD">
      <w:pPr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5C9DEC49">
      <w:pPr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52492B5F">
      <w:pPr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56A3F19E">
      <w:pPr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1F4F6140">
      <w:pPr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077B4503">
      <w:pPr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6DEDCC49">
      <w:pPr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5341784D">
      <w:pPr>
        <w:rPr>
          <w:rFonts w:hint="default" w:ascii="Times New Roman" w:hAnsi="Times New Roman" w:eastAsia="宋体" w:cs="Times New Roman"/>
          <w:sz w:val="24"/>
          <w:szCs w:val="24"/>
        </w:rPr>
      </w:pPr>
    </w:p>
    <w:p w14:paraId="605F4500">
      <w:pPr>
        <w:rPr>
          <w:rFonts w:hint="default" w:ascii="Times New Roman" w:hAnsi="Times New Roman" w:eastAsia="宋体" w:cs="Times New Roman"/>
          <w:sz w:val="24"/>
          <w:szCs w:val="24"/>
        </w:rPr>
      </w:pPr>
    </w:p>
    <w:p w14:paraId="1CDDAAB5">
      <w:pPr>
        <w:rPr>
          <w:rFonts w:hint="default" w:ascii="Times New Roman" w:hAnsi="Times New Roman" w:eastAsia="宋体" w:cs="Times New Roman"/>
          <w:sz w:val="24"/>
          <w:szCs w:val="24"/>
        </w:rPr>
      </w:pPr>
    </w:p>
    <w:p w14:paraId="7D7A0535">
      <w:pPr>
        <w:rPr>
          <w:rFonts w:hint="default" w:ascii="Times New Roman" w:hAnsi="Times New Roman" w:eastAsia="宋体" w:cs="Times New Roman"/>
          <w:sz w:val="24"/>
          <w:szCs w:val="24"/>
        </w:rPr>
      </w:pPr>
    </w:p>
    <w:p w14:paraId="2E319EC1">
      <w:pPr>
        <w:rPr>
          <w:rFonts w:hint="default" w:ascii="Times New Roman" w:hAnsi="Times New Roman" w:eastAsia="宋体" w:cs="Times New Roman"/>
          <w:sz w:val="24"/>
          <w:szCs w:val="24"/>
        </w:rPr>
      </w:pPr>
    </w:p>
    <w:p w14:paraId="1936E2ED">
      <w:pPr>
        <w:rPr>
          <w:rFonts w:hint="default" w:ascii="Times New Roman" w:hAnsi="Times New Roman" w:eastAsia="宋体" w:cs="Times New Roman"/>
          <w:sz w:val="24"/>
          <w:szCs w:val="24"/>
        </w:rPr>
      </w:pPr>
    </w:p>
    <w:p w14:paraId="40192071">
      <w:pPr>
        <w:rPr>
          <w:rFonts w:hint="default" w:ascii="Times New Roman" w:hAnsi="Times New Roman" w:eastAsia="宋体" w:cs="Times New Roman"/>
          <w:sz w:val="24"/>
          <w:szCs w:val="24"/>
        </w:rPr>
      </w:pPr>
    </w:p>
    <w:p w14:paraId="7F4254B3">
      <w:pPr>
        <w:rPr>
          <w:rFonts w:hint="default" w:ascii="Times New Roman" w:hAnsi="Times New Roman" w:eastAsia="宋体" w:cs="Times New Roman"/>
          <w:sz w:val="24"/>
          <w:szCs w:val="24"/>
        </w:rPr>
      </w:pPr>
    </w:p>
    <w:p w14:paraId="3A556A7B">
      <w:pPr>
        <w:rPr>
          <w:rFonts w:hint="default" w:ascii="Times New Roman" w:hAnsi="Times New Roman" w:eastAsia="宋体" w:cs="Times New Roman"/>
          <w:sz w:val="24"/>
          <w:szCs w:val="24"/>
        </w:rPr>
      </w:pPr>
    </w:p>
    <w:p w14:paraId="2C00C13B">
      <w:pPr>
        <w:rPr>
          <w:rFonts w:hint="default" w:ascii="Times New Roman" w:hAnsi="Times New Roman" w:eastAsia="宋体" w:cs="Times New Roman"/>
          <w:sz w:val="24"/>
          <w:szCs w:val="24"/>
        </w:rPr>
      </w:pPr>
    </w:p>
    <w:p w14:paraId="59EDCD9E">
      <w:pPr>
        <w:rPr>
          <w:rFonts w:hint="default" w:ascii="Times New Roman" w:hAnsi="Times New Roman" w:eastAsia="宋体" w:cs="Times New Roman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74126E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F445A30">
                          <w:pPr>
                            <w:pStyle w:val="3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F445A30">
                    <w:pPr>
                      <w:pStyle w:val="3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ZlNTJjYmIwY2YzZjU0M2VlNWU1ZTM0MzVhMWM5NDYifQ=="/>
  </w:docVars>
  <w:rsids>
    <w:rsidRoot w:val="00000000"/>
    <w:rsid w:val="0078768E"/>
    <w:rsid w:val="039F5570"/>
    <w:rsid w:val="03FB03BA"/>
    <w:rsid w:val="05965006"/>
    <w:rsid w:val="09AC25C5"/>
    <w:rsid w:val="0D18022F"/>
    <w:rsid w:val="0FEB1C2B"/>
    <w:rsid w:val="0FF74A4B"/>
    <w:rsid w:val="10EB2133"/>
    <w:rsid w:val="16A36DBB"/>
    <w:rsid w:val="2043516B"/>
    <w:rsid w:val="26630315"/>
    <w:rsid w:val="289F4610"/>
    <w:rsid w:val="2E8636C1"/>
    <w:rsid w:val="33DC34B5"/>
    <w:rsid w:val="35076310"/>
    <w:rsid w:val="389D76B7"/>
    <w:rsid w:val="39694CE4"/>
    <w:rsid w:val="39E02295"/>
    <w:rsid w:val="3F081602"/>
    <w:rsid w:val="40155D85"/>
    <w:rsid w:val="42884F34"/>
    <w:rsid w:val="43543CB1"/>
    <w:rsid w:val="453817FB"/>
    <w:rsid w:val="45382B38"/>
    <w:rsid w:val="45E71F71"/>
    <w:rsid w:val="47B02837"/>
    <w:rsid w:val="49E775A9"/>
    <w:rsid w:val="4A043420"/>
    <w:rsid w:val="4C6205A3"/>
    <w:rsid w:val="4F8E70FC"/>
    <w:rsid w:val="514C1822"/>
    <w:rsid w:val="51E963B1"/>
    <w:rsid w:val="553E1482"/>
    <w:rsid w:val="56574EF1"/>
    <w:rsid w:val="56AF7E21"/>
    <w:rsid w:val="5F7E529D"/>
    <w:rsid w:val="67332E10"/>
    <w:rsid w:val="68D128E1"/>
    <w:rsid w:val="6F060E0B"/>
    <w:rsid w:val="6F451933"/>
    <w:rsid w:val="73593759"/>
    <w:rsid w:val="78C57641"/>
    <w:rsid w:val="7E7F0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jc w:val="center"/>
      <w:outlineLvl w:val="1"/>
    </w:pPr>
    <w:rPr>
      <w:rFonts w:ascii="Arial" w:hAnsi="Arial" w:eastAsia="黑体"/>
      <w:b/>
      <w:sz w:val="28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7" Type="http://schemas.openxmlformats.org/officeDocument/2006/relationships/fontTable" Target="fontTable.xml"/><Relationship Id="rId36" Type="http://schemas.openxmlformats.org/officeDocument/2006/relationships/customXml" Target="../customXml/item1.xml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911</Words>
  <Characters>974</Characters>
  <Lines>0</Lines>
  <Paragraphs>0</Paragraphs>
  <TotalTime>0</TotalTime>
  <ScaleCrop>false</ScaleCrop>
  <LinksUpToDate>false</LinksUpToDate>
  <CharactersWithSpaces>995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2024-07-11T06:55:00Z</dcterms:created>
  <dc:creator>Epoint</dc:creator>
  <cp:lastModifiedBy>dell</cp:lastModifiedBy>
  <dcterms:modified xsi:type="dcterms:W3CDTF">2025-03-11T08:07:03Z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3BFA23C3406D412F8B229C3EBF218956_12</vt:lpwstr>
  </property>
  <property fmtid="{D5CDD505-2E9C-101B-9397-08002B2CF9AE}" pid="4" name="KSOTemplateDocerSaveRecord">
    <vt:lpwstr>eyJoZGlkIjoiNmZlNTJjYmIwY2YzZjU0M2VlNWU1ZTM0MzVhMWM5NDYiLCJ1c2VySWQiOiI1ODYwNDU3NjEifQ==</vt:lpwstr>
  </property>
</Properties>
</file>