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B45EFA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B86E348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C50D119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7FE762E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01AA5A8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E098695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  <w:lang w:val="en-US" w:eastAsia="zh-CN"/>
        </w:rPr>
      </w:pPr>
    </w:p>
    <w:p w14:paraId="77B4F8B5"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国有产权交易竞买人操作手册</w:t>
      </w:r>
    </w:p>
    <w:p w14:paraId="59A5236A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53491289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4D70D850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0CBDBFAB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4176E3F3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3889E05C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4D799BE9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4F3B5E52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2E5BA5AB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728B3642">
      <w:pPr>
        <w:rPr>
          <w:rFonts w:hint="default" w:ascii="Times New Roman" w:hAnsi="Times New Roman" w:cs="Times New Roman"/>
          <w:lang w:val="en-US" w:eastAsia="zh-CN"/>
        </w:rPr>
      </w:pPr>
    </w:p>
    <w:p w14:paraId="19D6A558">
      <w:pPr>
        <w:rPr>
          <w:rFonts w:hint="default" w:ascii="Times New Roman" w:hAnsi="Times New Roman" w:cs="Times New Roman"/>
          <w:lang w:val="en-US" w:eastAsia="zh-CN"/>
        </w:rPr>
      </w:pPr>
    </w:p>
    <w:p w14:paraId="4BF996FF">
      <w:pPr>
        <w:rPr>
          <w:rFonts w:hint="default" w:ascii="Times New Roman" w:hAnsi="Times New Roman" w:cs="Times New Roman"/>
          <w:lang w:val="en-US" w:eastAsia="zh-CN"/>
        </w:rPr>
      </w:pPr>
    </w:p>
    <w:p w14:paraId="58F466B0">
      <w:pPr>
        <w:rPr>
          <w:rFonts w:hint="default" w:ascii="Times New Roman" w:hAnsi="Times New Roman" w:cs="Times New Roman"/>
          <w:lang w:val="en-US" w:eastAsia="zh-CN"/>
        </w:rPr>
      </w:pPr>
    </w:p>
    <w:p w14:paraId="11AA3CF4">
      <w:pPr>
        <w:rPr>
          <w:rFonts w:hint="default" w:ascii="Times New Roman" w:hAnsi="Times New Roman" w:cs="Times New Roman"/>
          <w:lang w:val="en-US" w:eastAsia="zh-CN"/>
        </w:rPr>
      </w:pPr>
    </w:p>
    <w:p w14:paraId="16CF9C2C">
      <w:pPr>
        <w:rPr>
          <w:rFonts w:hint="default" w:ascii="Times New Roman" w:hAnsi="Times New Roman" w:cs="Times New Roman"/>
          <w:lang w:val="en-US" w:eastAsia="zh-CN"/>
        </w:rPr>
      </w:pPr>
    </w:p>
    <w:p w14:paraId="17A73CE0">
      <w:pPr>
        <w:rPr>
          <w:rFonts w:hint="default" w:ascii="Times New Roman" w:hAnsi="Times New Roman" w:cs="Times New Roman"/>
          <w:lang w:val="en-US" w:eastAsia="zh-CN"/>
        </w:rPr>
      </w:pPr>
    </w:p>
    <w:p w14:paraId="4F134FF3">
      <w:pPr>
        <w:rPr>
          <w:rFonts w:hint="default" w:ascii="Times New Roman" w:hAnsi="Times New Roman" w:cs="Times New Roman"/>
          <w:lang w:val="en-US" w:eastAsia="zh-CN"/>
        </w:rPr>
      </w:pPr>
    </w:p>
    <w:p w14:paraId="162B33AC">
      <w:pPr>
        <w:rPr>
          <w:rFonts w:hint="default" w:ascii="Times New Roman" w:hAnsi="Times New Roman" w:cs="Times New Roman"/>
          <w:lang w:val="en-US" w:eastAsia="zh-CN"/>
        </w:rPr>
      </w:pPr>
    </w:p>
    <w:p w14:paraId="1FB5B9EC">
      <w:pPr>
        <w:rPr>
          <w:rFonts w:hint="default" w:ascii="Times New Roman" w:hAnsi="Times New Roman" w:cs="Times New Roman"/>
          <w:lang w:val="en-US" w:eastAsia="zh-CN"/>
        </w:rPr>
      </w:pPr>
    </w:p>
    <w:p w14:paraId="3DB70024">
      <w:pPr>
        <w:rPr>
          <w:rFonts w:hint="default" w:ascii="Times New Roman" w:hAnsi="Times New Roman" w:cs="Times New Roman"/>
          <w:lang w:val="en-US" w:eastAsia="zh-CN"/>
        </w:rPr>
      </w:pPr>
    </w:p>
    <w:p w14:paraId="66176304">
      <w:pPr>
        <w:rPr>
          <w:rFonts w:hint="default" w:ascii="Times New Roman" w:hAnsi="Times New Roman" w:cs="Times New Roman"/>
          <w:lang w:val="en-US" w:eastAsia="zh-CN"/>
        </w:rPr>
      </w:pPr>
    </w:p>
    <w:p w14:paraId="5BE6896D">
      <w:pPr>
        <w:rPr>
          <w:rFonts w:hint="default" w:ascii="Times New Roman" w:hAnsi="Times New Roman" w:cs="Times New Roman"/>
          <w:lang w:val="en-US" w:eastAsia="zh-CN"/>
        </w:rPr>
      </w:pPr>
    </w:p>
    <w:p w14:paraId="4A27753C">
      <w:pPr>
        <w:rPr>
          <w:rFonts w:hint="default" w:ascii="Times New Roman" w:hAnsi="Times New Roman" w:cs="Times New Roman"/>
          <w:lang w:val="en-US" w:eastAsia="zh-CN"/>
        </w:rPr>
      </w:pPr>
    </w:p>
    <w:p w14:paraId="4951AD89">
      <w:pPr>
        <w:rPr>
          <w:rFonts w:hint="default" w:ascii="Times New Roman" w:hAnsi="Times New Roman" w:cs="Times New Roman"/>
          <w:lang w:val="en-US" w:eastAsia="zh-CN"/>
        </w:rPr>
      </w:pPr>
    </w:p>
    <w:p w14:paraId="37F4035A">
      <w:pPr>
        <w:rPr>
          <w:rFonts w:hint="default" w:ascii="Times New Roman" w:hAnsi="Times New Roman" w:cs="Times New Roman"/>
          <w:lang w:val="en-US" w:eastAsia="zh-CN"/>
        </w:rPr>
      </w:pPr>
    </w:p>
    <w:p w14:paraId="3C91D5F4">
      <w:pPr>
        <w:pStyle w:val="2"/>
        <w:bidi w:val="0"/>
        <w:jc w:val="left"/>
        <w:rPr>
          <w:rFonts w:hint="default" w:ascii="Times New Roman" w:hAnsi="Times New Roman" w:eastAsia="方正黑体_GBK" w:cs="Times New Roman"/>
          <w:b w:val="0"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6AC8ADA">
      <w:pPr>
        <w:pStyle w:val="2"/>
        <w:bidi w:val="0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一、登录系统</w:t>
      </w:r>
    </w:p>
    <w:p w14:paraId="3611D798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 w14:paraId="5A48BFE4"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万源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市公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网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eastAsia"/>
          <w:sz w:val="28"/>
          <w:szCs w:val="28"/>
        </w:rPr>
        <w:t>（</w:t>
      </w:r>
      <w:r>
        <w:rPr>
          <w:rFonts w:hint="eastAsia" w:ascii="仿宋" w:hAnsi="仿宋" w:eastAsia="仿宋"/>
          <w:sz w:val="32"/>
          <w:szCs w:val="32"/>
        </w:rPr>
        <w:t>http://www.dzggzy.cn/wysweb/</w:t>
      </w:r>
      <w:r>
        <w:rPr>
          <w:rFonts w:hint="eastAsia"/>
          <w:sz w:val="28"/>
          <w:szCs w:val="28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官网主页，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“招/投标人系统”完成网上注册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245" cy="2301875"/>
            <wp:effectExtent l="0" t="0" r="14605" b="3175"/>
            <wp:docPr id="25" name="图片 25" descr="1741343777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413437775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BFC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 w14:paraId="7DA72E6B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3750310"/>
            <wp:effectExtent l="0" t="0" r="1016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358F"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立即注册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3A06D010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775200" cy="4616450"/>
            <wp:effectExtent l="0" t="0" r="635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rcRect b="546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CD36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A614E8C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</w:t>
      </w:r>
    </w:p>
    <w:p w14:paraId="758EFA32">
      <w:pPr>
        <w:jc w:val="both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通过输入账号密码或使用CA锁登录系统，并选择对应身份进入系统</w:t>
      </w:r>
    </w:p>
    <w:p w14:paraId="6F30B358">
      <w:pPr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6DF">
      <w:pPr>
        <w:jc w:val="both"/>
      </w:pPr>
    </w:p>
    <w:p w14:paraId="2D08558A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B1BD">
      <w:pPr>
        <w:jc w:val="both"/>
      </w:pPr>
    </w:p>
    <w:p w14:paraId="5F1E24E3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A46A1">
      <w:pPr>
        <w:jc w:val="both"/>
        <w:rPr>
          <w:rFonts w:hint="default"/>
          <w:lang w:val="en-US" w:eastAsia="zh-CN"/>
        </w:rPr>
      </w:pPr>
    </w:p>
    <w:p w14:paraId="44169C75">
      <w:pPr>
        <w:jc w:val="both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 xml:space="preserve"> 四川省CA互联互通驱动4.0安装</w:t>
      </w:r>
    </w:p>
    <w:p w14:paraId="7FF27062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.1 在登录界面点击“驱动下载”按钮</w:t>
      </w:r>
    </w:p>
    <w:p w14:paraId="4414197E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382520"/>
            <wp:effectExtent l="0" t="0" r="10160" b="1778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C72D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.2 点击下载驱动</w:t>
      </w:r>
    </w:p>
    <w:p w14:paraId="68A0168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C9E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.3 打开驱动，点击快速安装</w:t>
      </w:r>
    </w:p>
    <w:p w14:paraId="7DEC9821"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C0B6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D152E"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6884A85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二、进入对应项目</w:t>
      </w:r>
    </w:p>
    <w:p w14:paraId="08DCE77D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 点击“招标公告”—&gt;“产权交易”将鼠标移动到对应项目上点击“进入项目”即可进入操作页面</w:t>
      </w:r>
    </w:p>
    <w:p w14:paraId="46B63EA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2089785"/>
            <wp:effectExtent l="0" t="0" r="762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67093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2D97B32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三、阅读报名规则</w:t>
      </w:r>
    </w:p>
    <w:p w14:paraId="797DF91C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3.1 进入操作页面首先需要阅读报名规则，阅读完毕后点击页面下方的“同意”按钮即可进入报名页面</w:t>
      </w:r>
    </w:p>
    <w:p w14:paraId="3D1734A2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3040" cy="2219325"/>
            <wp:effectExtent l="0" t="0" r="1016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4A365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434CE6D6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四、项目报名</w:t>
      </w:r>
    </w:p>
    <w:p w14:paraId="27F93735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4.1 进入项目报名页面需填写对应报名信息</w:t>
      </w:r>
    </w:p>
    <w:p w14:paraId="28F9A426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1159510"/>
            <wp:effectExtent l="0" t="0" r="381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7567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4.2 填写完报名信息后需点击页面上方的“确认报名信息”按钮，即可成功保存报名信息</w:t>
      </w:r>
    </w:p>
    <w:p w14:paraId="5A161486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5420" cy="2218690"/>
            <wp:effectExtent l="0" t="0" r="508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0620B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4.3 确认报名信息后，点击页面最下方的“下一步”按钮，即可进入“交易文件领取”步骤</w:t>
      </w:r>
    </w:p>
    <w:p w14:paraId="60622E8A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4150" cy="1478280"/>
            <wp:effectExtent l="0" t="0" r="635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C39C3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034F2493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五、交易文件领取</w:t>
      </w:r>
    </w:p>
    <w:p w14:paraId="35887C4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5.1 进入交易文件领取页面，点击下载按钮即可下载交易文件；下载完成后点击“下一步”即可进入保证金缴纳及查询步骤</w:t>
      </w:r>
    </w:p>
    <w:p w14:paraId="185BDB14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199005"/>
            <wp:effectExtent l="0" t="0" r="381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1980A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58C09AA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六、保证金缴纳及查询</w:t>
      </w:r>
    </w:p>
    <w:p w14:paraId="09612755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6.1 进入保证金缴纳及查询页面后，首先需要根据个人实际情况选择保证金缴纳银行，选择后点击“生成子账号”按钮即可跳转到保证金缴纳页面</w:t>
      </w:r>
    </w:p>
    <w:p w14:paraId="05C79BED">
      <w:pP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注：生成子账号后就不能再重新选择银行</w:t>
      </w:r>
    </w:p>
    <w:p w14:paraId="520E7E7F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1922780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FD238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6.2 进入保证金缴纳页面，可以看到保证金子账号等信息，根据页面上显示的信息缴纳保证金。缴纳完成后点击页面下方的“保证金查询”按钮可以进入保证金查询页面，查询成功后点击“打印回执”，可以打印回执</w:t>
      </w:r>
    </w:p>
    <w:p w14:paraId="48B28BA7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注：必须使用当前报名单位在基本信息中填写的基本户进行缴纳，否则会影响保证金查询</w:t>
      </w:r>
    </w:p>
    <w:p w14:paraId="780C1EC6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2405" cy="1899920"/>
            <wp:effectExtent l="0" t="0" r="1079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B28BA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6.3 进入保证金查询页面，点击“缴纳查询”按钮即可查询保证金，若缴纳成功，可点击对应记录后方的打印凭证图标按钮打印保证金缴纳凭证。</w:t>
      </w:r>
    </w:p>
    <w:p w14:paraId="608B686D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3040" cy="2063750"/>
            <wp:effectExtent l="0" t="0" r="1016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55AB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5420" cy="734060"/>
            <wp:effectExtent l="0" t="0" r="508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0BD6"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39049FA2"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5342120"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9E7CD15">
      <w:pPr>
        <w:bidi w:val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2F16E28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七、资格审查（仅针对网上竞价项目）</w:t>
      </w:r>
    </w:p>
    <w:p w14:paraId="60713D53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7.1 保证金缴纳并查询成功后，点击“下一步”可进入资格审查编辑页面，在编辑页面可以上传资格审查资料，上传完成后点击“提交”按钮即可提交资格审查</w:t>
      </w:r>
    </w:p>
    <w:p w14:paraId="0DD37124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157480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1AE8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7.2 资格审查提交后，提交按钮会变为“撤回”按钮，在开标时间前可以撤回修改并重新提交</w:t>
      </w:r>
    </w:p>
    <w:p w14:paraId="2579C35F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8595" cy="1862455"/>
            <wp:effectExtent l="0" t="0" r="190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5719F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7.3 资格审查页面下方可以查看资格审查结果，审查通过后点击“下一步”可以进入网上竞价页面</w:t>
      </w:r>
    </w:p>
    <w:p w14:paraId="4C95510E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7960" cy="18980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B7E1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八、网上竞价（仅针对网上竞价项目）</w:t>
      </w:r>
    </w:p>
    <w:p w14:paraId="482E543B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8.1 当竞价开始时间到了之后，点击“进入竞价系统”即可进入竞价系统进行竞价</w:t>
      </w:r>
    </w:p>
    <w:p w14:paraId="49D0CE2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055" cy="2068195"/>
            <wp:effectExtent l="0" t="0" r="4445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0B700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8.2 进入竞价系统后可以选择报价倍数（即竞价阶梯倍数），然后点击“提交报价”就可以成功报价</w:t>
      </w:r>
    </w:p>
    <w:p w14:paraId="1F8C63ED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0500" cy="29083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C47B7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FDADE49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6E262C56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九、打印成交确认书（仅针对中标单位）</w:t>
      </w:r>
    </w:p>
    <w:p w14:paraId="1896ACAB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9.1 点击“打印成交确认书”按钮进入打印详情页面</w:t>
      </w:r>
    </w:p>
    <w:p w14:paraId="5E3FA21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4310" cy="1913255"/>
            <wp:effectExtent l="0" t="0" r="889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E184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9.2 待交易中心确认后即可点击打印成交确认书图标按钮</w:t>
      </w:r>
    </w:p>
    <w:p w14:paraId="119D2264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9230" cy="2061210"/>
            <wp:effectExtent l="0" t="0" r="127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AA447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5CFD3F4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bCs w:val="0"/>
          <w:sz w:val="32"/>
          <w:szCs w:val="32"/>
          <w:lang w:val="en-US" w:eastAsia="zh-CN"/>
        </w:rPr>
        <w:t>十、保证金退款（仅针对中标单位）</w:t>
      </w:r>
    </w:p>
    <w:p w14:paraId="7D161093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10.1 点击“保证金退款”即可进入保证金退款编辑页面</w:t>
      </w:r>
    </w:p>
    <w:p w14:paraId="55D99F51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2405" cy="1570355"/>
            <wp:effectExtent l="0" t="0" r="1079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6704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10.2 在编辑页面上传合同等材料后即可提交审核，审核通过后保证金退款公告会展示到网站对应栏目</w:t>
      </w:r>
    </w:p>
    <w:p w14:paraId="0BDAA40D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7325" cy="2127885"/>
            <wp:effectExtent l="0" t="0" r="317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51D91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397FFA3B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33A10BFD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C9DEC49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2492B5F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6A3F19E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1F4F6140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077B4503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6DEDCC49"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341784D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605F4500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1CDDAAB5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7D7A0535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2E319EC1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1936E2ED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40192071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7F4254B3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3A556A7B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2C00C13B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59EDCD9E">
      <w:pPr>
        <w:rPr>
          <w:rFonts w:hint="default" w:ascii="Times New Roman" w:hAnsi="Times New Roman" w:eastAsia="宋体" w:cs="Times New Roman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74126E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445A30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445A30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00000000"/>
    <w:rsid w:val="0078768E"/>
    <w:rsid w:val="039F5570"/>
    <w:rsid w:val="03D8291E"/>
    <w:rsid w:val="03FB03BA"/>
    <w:rsid w:val="05965006"/>
    <w:rsid w:val="09AC25C5"/>
    <w:rsid w:val="0C3B5E9B"/>
    <w:rsid w:val="0D18022F"/>
    <w:rsid w:val="0FEB1C2B"/>
    <w:rsid w:val="0FF74A4B"/>
    <w:rsid w:val="10EB2133"/>
    <w:rsid w:val="16A36DBB"/>
    <w:rsid w:val="16CB05EF"/>
    <w:rsid w:val="2043516B"/>
    <w:rsid w:val="20763D8E"/>
    <w:rsid w:val="26630315"/>
    <w:rsid w:val="289F4610"/>
    <w:rsid w:val="2E8636C1"/>
    <w:rsid w:val="2F18370D"/>
    <w:rsid w:val="33DC34B5"/>
    <w:rsid w:val="35076310"/>
    <w:rsid w:val="389D76B7"/>
    <w:rsid w:val="39694CE4"/>
    <w:rsid w:val="39E02295"/>
    <w:rsid w:val="3ECF4A76"/>
    <w:rsid w:val="3F081602"/>
    <w:rsid w:val="40155D85"/>
    <w:rsid w:val="42884F34"/>
    <w:rsid w:val="43543CB1"/>
    <w:rsid w:val="437819E2"/>
    <w:rsid w:val="453817FB"/>
    <w:rsid w:val="45382B38"/>
    <w:rsid w:val="45E71F71"/>
    <w:rsid w:val="47B02837"/>
    <w:rsid w:val="49E775A9"/>
    <w:rsid w:val="4A043420"/>
    <w:rsid w:val="4C6205A3"/>
    <w:rsid w:val="4F8E70FC"/>
    <w:rsid w:val="514C1822"/>
    <w:rsid w:val="553E1482"/>
    <w:rsid w:val="56574EF1"/>
    <w:rsid w:val="56AF7E21"/>
    <w:rsid w:val="5A506FA5"/>
    <w:rsid w:val="5F7E529D"/>
    <w:rsid w:val="67332E10"/>
    <w:rsid w:val="68D128E1"/>
    <w:rsid w:val="6F060E0B"/>
    <w:rsid w:val="6F451933"/>
    <w:rsid w:val="73593759"/>
    <w:rsid w:val="78C57641"/>
    <w:rsid w:val="7E7F0268"/>
    <w:rsid w:val="7F5B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1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1161</Words>
  <Characters>1263</Characters>
  <Lines>0</Lines>
  <Paragraphs>0</Paragraphs>
  <TotalTime>4</TotalTime>
  <ScaleCrop>false</ScaleCrop>
  <LinksUpToDate>false</LinksUpToDate>
  <CharactersWithSpaces>1290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2024-07-11T06:55:00Z</dcterms:created>
  <dc:creator>Epoint</dc:creator>
  <cp:lastModifiedBy>Administrator</cp:lastModifiedBy>
  <dcterms:modified xsi:type="dcterms:W3CDTF">2025-03-07T10:52:52Z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FE94970ED4F0496D924A3DF9E4D7B2AF_13</vt:lpwstr>
  </property>
  <property fmtid="{D5CDD505-2E9C-101B-9397-08002B2CF9AE}" pid="4" name="KSOTemplateDocerSaveRecord">
    <vt:lpwstr>eyJoZGlkIjoiNDQxMjQ3N2VhOGYwMGFmZWUyMjY3NzMwZTllMjFiY2UifQ==</vt:lpwstr>
  </property>
</Properties>
</file>