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5B215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5723D9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506D33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A79BFF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p w14:paraId="163D0862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50FF061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334408F"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 w:val="52"/>
          <w:szCs w:val="52"/>
          <w:lang w:val="en-US" w:eastAsia="zh-CN"/>
        </w:rPr>
        <w:t>8.0</w:t>
      </w: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新系统工程建设</w:t>
      </w:r>
    </w:p>
    <w:p w14:paraId="026A2004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52"/>
          <w:szCs w:val="52"/>
          <w:lang w:val="en-US" w:eastAsia="zh-CN"/>
        </w:rPr>
        <w:t>专家</w:t>
      </w: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操作手册</w:t>
      </w:r>
    </w:p>
    <w:p w14:paraId="2E4599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F0FADC2">
      <w:pPr>
        <w:pStyle w:val="2"/>
        <w:bidi w:val="0"/>
        <w:jc w:val="center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一、专家登录</w:t>
      </w:r>
    </w:p>
    <w:p w14:paraId="30149A41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1.1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在登陆页面中点击“评委”身份，在使用用户名登录，第一行输入账号，第二行输入密码，再点击“登陆”</w:t>
      </w:r>
    </w:p>
    <w:p w14:paraId="1D9F80AC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2543175"/>
            <wp:effectExtent l="0" t="0" r="6985" b="952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BA26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1.2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找到对应的标段，点击“进入”</w:t>
      </w:r>
    </w:p>
    <w:p w14:paraId="4A97EF01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728470"/>
            <wp:effectExtent l="0" t="0" r="3810" b="11430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AD57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F1C08EC">
      <w:pPr>
        <w:pStyle w:val="2"/>
        <w:bidi w:val="0"/>
        <w:jc w:val="center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二、评标准备</w:t>
      </w:r>
    </w:p>
    <w:p w14:paraId="5D74A678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2.1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阅读评委记录后点击“我已阅读”</w:t>
      </w:r>
    </w:p>
    <w:p w14:paraId="02F81A01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374265"/>
            <wp:effectExtent l="0" t="0" r="3810" b="635"/>
            <wp:docPr id="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90DC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录入专家相关信息后，点击“提交”</w:t>
      </w:r>
    </w:p>
    <w:p w14:paraId="1BE12C57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1341755"/>
            <wp:effectExtent l="0" t="0" r="10160" b="4445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2E6A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2.3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点击“评委须知”，点击“我已阅读”后，再点击“点击签章”</w:t>
      </w:r>
    </w:p>
    <w:p w14:paraId="3F3525E6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578100"/>
            <wp:effectExtent l="0" t="0" r="3810" b="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3945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阅读评委承诺书后点击“点击签章”，输入密码签章</w:t>
      </w:r>
    </w:p>
    <w:p w14:paraId="4F88271A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770" cy="3324860"/>
            <wp:effectExtent l="0" t="0" r="11430" b="2540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8073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2.4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点击“评委回避”，如有需要回避在对应单位后点击“回避”，如无需回避直接点“提交”</w:t>
      </w:r>
    </w:p>
    <w:p w14:paraId="78C038CB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508125"/>
            <wp:effectExtent l="0" t="0" r="3810" b="3175"/>
            <wp:docPr id="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EAE5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2.5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点击“推荐评委负责人”，商议后推荐组长</w:t>
      </w:r>
    </w:p>
    <w:p w14:paraId="28EA8444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1366520"/>
            <wp:effectExtent l="0" t="0" r="5715" b="5080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FA30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2.6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推荐完成后点击左侧“评标开始”，点击“开始评标”</w:t>
      </w:r>
    </w:p>
    <w:p w14:paraId="61707A57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65425"/>
            <wp:effectExtent l="0" t="0" r="3810" b="3175"/>
            <wp:docPr id="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5AC1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7EE8991">
      <w:pPr>
        <w:pStyle w:val="2"/>
        <w:bidi w:val="0"/>
        <w:jc w:val="center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三、暗标评审（以房建暗标为例）</w:t>
      </w:r>
    </w:p>
    <w:p w14:paraId="6AF809F9">
      <w:pPr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3.1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“施工组织设计暗标打分”填写好所有单位的得分项得分时点击“确认提交”。如果组员的话点击提交后等待组长把此项汇总提交</w:t>
      </w:r>
    </w:p>
    <w:p w14:paraId="7F11FC51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1628140"/>
            <wp:effectExtent l="0" t="0" r="1905" b="1016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7E503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组长点击此项的汇总菜单，确认无误后点击“评标汇总”，如果需要退回则选择对应专家后点击“退回重评”</w:t>
      </w:r>
    </w:p>
    <w:p w14:paraId="5D9734BE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1314450"/>
            <wp:effectExtent l="0" t="0" r="7620" b="635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0264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3.2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“清标”此项需要组长操作，点击“开始清标”</w:t>
      </w:r>
    </w:p>
    <w:p w14:paraId="02C3B3BC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341245"/>
            <wp:effectExtent l="0" t="0" r="3810" b="8255"/>
            <wp:docPr id="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7E3A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3.3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“响应性暗标评审打分”，对应公司的评审项选择结果后点击“确认提交”</w:t>
      </w:r>
    </w:p>
    <w:p w14:paraId="5BC3FBAC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386840"/>
            <wp:effectExtent l="0" t="0" r="3810" b="10160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4F8E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组长提交后，点击左侧“响应性暗标评审汇总”，组员评审完成无误后点击“评审汇总”</w:t>
      </w:r>
    </w:p>
    <w:p w14:paraId="74734193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645920"/>
            <wp:effectExtent l="0" t="0" r="3810" b="5080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7A27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CDCD4DD">
      <w:pPr>
        <w:pStyle w:val="2"/>
        <w:bidi w:val="0"/>
        <w:jc w:val="center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四、初步评审</w:t>
      </w:r>
    </w:p>
    <w:p w14:paraId="29DF01F7">
      <w:pPr>
        <w:jc w:val="both"/>
        <w:rPr>
          <w:rFonts w:hint="default" w:ascii="Times New Roman" w:hAnsi="Times New Roman" w:eastAsia="方正仿宋_GBK" w:cs="Times New Roman"/>
          <w:b w:val="0"/>
          <w:bCs w:val="0"/>
          <w:kern w:val="44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4.1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点击“初步评审”，点击其下左侧的“形式评审打分”，当所有单位的评审项选完成后，点击“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ab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确认提交”</w:t>
      </w:r>
    </w:p>
    <w:p w14:paraId="1D686277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656080"/>
            <wp:effectExtent l="0" t="0" r="3810" b="7620"/>
            <wp:docPr id="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3C02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点击左侧“形式评审汇总”，当所有组员提交后点击“评审汇总”</w:t>
      </w:r>
    </w:p>
    <w:p w14:paraId="686F5350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975" cy="1384935"/>
            <wp:effectExtent l="0" t="0" r="9525" b="12065"/>
            <wp:docPr id="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3E52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4.2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点击左侧“资格评审打分”，当所有单位的评审项选择完成后，点击“确认提交”</w:t>
      </w:r>
    </w:p>
    <w:p w14:paraId="535356FD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975" cy="2053590"/>
            <wp:effectExtent l="0" t="0" r="9525" b="3810"/>
            <wp:docPr id="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5227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点击左侧“资格评审汇总”，当所有组员提交确认无误后，点击“评审汇总”</w:t>
      </w:r>
    </w:p>
    <w:p w14:paraId="2D8FE546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1691005"/>
            <wp:effectExtent l="0" t="0" r="5715" b="10795"/>
            <wp:docPr id="8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36BF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4.3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点击左侧“响应性评审打分”，当所有单位的评审项选择完成后，点击“确认提交”</w:t>
      </w:r>
    </w:p>
    <w:p w14:paraId="1113B117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1717675"/>
            <wp:effectExtent l="0" t="0" r="5715" b="9525"/>
            <wp:docPr id="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54BE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点击左侧“资格评审汇总”，当所有组员提交确认无误后，点击“评审汇总”</w:t>
      </w:r>
    </w:p>
    <w:p w14:paraId="6F916B43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1600835"/>
            <wp:effectExtent l="0" t="0" r="7620" b="12065"/>
            <wp:docPr id="8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5A93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4.4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如果需要废标，则在“废标结果查看”点击“添加否决投标”，选择好单位和对应节点以及理由后，点击“确定”即可</w:t>
      </w:r>
    </w:p>
    <w:p w14:paraId="00423058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8435" cy="2020570"/>
            <wp:effectExtent l="0" t="0" r="12065" b="11430"/>
            <wp:docPr id="8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98E4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714691C">
      <w:pPr>
        <w:pStyle w:val="2"/>
        <w:bidi w:val="0"/>
        <w:jc w:val="center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五、详细评审</w:t>
      </w:r>
    </w:p>
    <w:p w14:paraId="203CB9C6">
      <w:pPr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5.1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点击“详细评审”，再点击左侧的“单价遗漏评审”点击“分析”</w:t>
      </w:r>
    </w:p>
    <w:p w14:paraId="3F80DD45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975" cy="1699260"/>
            <wp:effectExtent l="0" t="0" r="9525" b="2540"/>
            <wp:docPr id="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1B34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点击“综合单价评审”，其中“单价评审”、“消耗量评审”、“规格型号，质量档次评审”如果有不合理材料，则在对应项右边勾选后，点击“确定不合理材料”。此项为组长操作</w:t>
      </w:r>
    </w:p>
    <w:p w14:paraId="0C494EC2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905000"/>
            <wp:effectExtent l="0" t="0" r="3810" b="0"/>
            <wp:docPr id="9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B565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5.3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进入“不平衡报价评审”，其中“分部分项清单不平衡报价”确定好第一类或者第二类时点击“保存”、“确定”</w:t>
      </w:r>
    </w:p>
    <w:p w14:paraId="3521799A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8435" cy="1905000"/>
            <wp:effectExtent l="0" t="0" r="12065" b="0"/>
            <wp:docPr id="9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11B2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进入“措施项目不平衡报价”，点击“确定”</w:t>
      </w:r>
    </w:p>
    <w:p w14:paraId="26FB58F9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drawing>
          <wp:inline distT="0" distB="0" distL="114300" distR="114300">
            <wp:extent cx="5260975" cy="1312545"/>
            <wp:effectExtent l="0" t="0" r="9525" b="8255"/>
            <wp:docPr id="9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97EF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进入“不平衡报价评审”，点击“分析”</w:t>
      </w:r>
    </w:p>
    <w:p w14:paraId="23A83BD6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670685"/>
            <wp:effectExtent l="0" t="0" r="3810" b="5715"/>
            <wp:docPr id="9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6274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5.4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进入“安全文明施工费和规费计取”环节，其中“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ab/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安全文明施工费计取基础”点击“分析”查看结果</w:t>
      </w:r>
    </w:p>
    <w:p w14:paraId="248C0112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1559560"/>
            <wp:effectExtent l="0" t="0" r="7620" b="2540"/>
            <wp:docPr id="9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F841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进入“规费计取基础”，点击“分析”查看结果</w:t>
      </w:r>
    </w:p>
    <w:p w14:paraId="5B8E2013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1558290"/>
            <wp:effectExtent l="0" t="0" r="12065" b="3810"/>
            <wp:docPr id="9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CE06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5.5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进入“成本价评审”，点击“分析”，查看数据</w:t>
      </w:r>
    </w:p>
    <w:p w14:paraId="204DC7FC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1244600"/>
            <wp:effectExtent l="0" t="0" r="7620" b="0"/>
            <wp:docPr id="9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D2F3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5.6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进入“项目管理机构评审打分”，所有单位的分数打完后，点击“确认提交”</w:t>
      </w:r>
    </w:p>
    <w:p w14:paraId="2BC9DA2A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1750060"/>
            <wp:effectExtent l="0" t="0" r="1905" b="2540"/>
            <wp:docPr id="9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E2AF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所有评委评审完成后，点击“评审汇总”</w:t>
      </w:r>
    </w:p>
    <w:p w14:paraId="69154900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1545590"/>
            <wp:effectExtent l="0" t="0" r="10160" b="3810"/>
            <wp:docPr id="9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8478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5.7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进入“投标报价评审打分”，确认无误后，点击“确认提交”</w:t>
      </w:r>
    </w:p>
    <w:p w14:paraId="21328531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286000"/>
            <wp:effectExtent l="0" t="0" r="7620" b="0"/>
            <wp:docPr id="1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1EC1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进入“投标报价评审汇总”，确认无误后点击“评审汇总”</w:t>
      </w:r>
    </w:p>
    <w:p w14:paraId="2D22D625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855470"/>
            <wp:effectExtent l="0" t="0" r="3810" b="11430"/>
            <wp:docPr id="10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4080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5.8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进入“其他因素评审打分”，所有单位打分完成后，点击“确认提交”</w:t>
      </w:r>
    </w:p>
    <w:p w14:paraId="6A769BB1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8435" cy="1191260"/>
            <wp:effectExtent l="0" t="0" r="12065" b="2540"/>
            <wp:docPr id="10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0A3E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进入“其他因素评审汇总”，所有评委打分完成后，点击“确认提交”</w:t>
      </w:r>
    </w:p>
    <w:p w14:paraId="5D955A5D">
      <w:pPr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1936115"/>
            <wp:effectExtent l="0" t="0" r="1905" b="6985"/>
            <wp:docPr id="10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266A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E11DC2D">
      <w:pPr>
        <w:pStyle w:val="2"/>
        <w:bidi w:val="0"/>
        <w:jc w:val="center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六、评标结束</w:t>
      </w:r>
    </w:p>
    <w:p w14:paraId="10654E5B">
      <w:pPr>
        <w:jc w:val="left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6.1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进入评标结束页面的“最终排名”，点击“排名汇总”</w:t>
      </w:r>
    </w:p>
    <w:p w14:paraId="4D9B6BA7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649730"/>
            <wp:effectExtent l="0" t="0" r="3810" b="1270"/>
            <wp:docPr id="10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7AF0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选择一到三名的排名后，点击“保存中标候选人”后再点击“确认”</w:t>
      </w:r>
    </w:p>
    <w:p w14:paraId="14EDA6B0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228090"/>
            <wp:effectExtent l="0" t="0" r="3810" b="3810"/>
            <wp:docPr id="10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074C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6.2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进入“评委签章”页面，先点击“批量签章”，再点击“开始”，再输入CA密码点击签章。组长可点击“签章情况”查看其他评委签章情况</w:t>
      </w:r>
    </w:p>
    <w:p w14:paraId="30B8F58A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946275"/>
            <wp:effectExtent l="0" t="0" r="3810" b="9525"/>
            <wp:docPr id="10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9654">
      <w:pPr>
        <w:jc w:val="both"/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6.3</w:t>
      </w:r>
      <w:r>
        <w:rPr>
          <w:rFonts w:hint="eastAsia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val="en-US" w:eastAsia="zh-CN"/>
        </w:rPr>
        <w:t>进入“评标结束”页面，确认评标报告无误后点击“评标结束”按钮，结束评标</w:t>
      </w:r>
    </w:p>
    <w:p w14:paraId="21D13D55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48915"/>
            <wp:effectExtent l="0" t="0" r="3810" b="6985"/>
            <wp:docPr id="10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E1A6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</w:p>
    <w:p w14:paraId="50679318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213" w:right="1800" w:bottom="1213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B096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7E969"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57E969"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16BF4C01"/>
    <w:rsid w:val="01D72DEE"/>
    <w:rsid w:val="081A6B57"/>
    <w:rsid w:val="08D51B22"/>
    <w:rsid w:val="0A2D5B4D"/>
    <w:rsid w:val="0AD31CD6"/>
    <w:rsid w:val="0E3F49E4"/>
    <w:rsid w:val="0F321D5A"/>
    <w:rsid w:val="13597C19"/>
    <w:rsid w:val="13EB312D"/>
    <w:rsid w:val="16BF4C01"/>
    <w:rsid w:val="1C9263DB"/>
    <w:rsid w:val="20920629"/>
    <w:rsid w:val="20BF0C96"/>
    <w:rsid w:val="20D97C08"/>
    <w:rsid w:val="20E309AE"/>
    <w:rsid w:val="21CD60A2"/>
    <w:rsid w:val="24C63E4E"/>
    <w:rsid w:val="2C63543E"/>
    <w:rsid w:val="2C6B6B28"/>
    <w:rsid w:val="2D491029"/>
    <w:rsid w:val="35EF3005"/>
    <w:rsid w:val="383A5E57"/>
    <w:rsid w:val="387C13AE"/>
    <w:rsid w:val="3A6B1BED"/>
    <w:rsid w:val="3E4C1A0F"/>
    <w:rsid w:val="46040BD9"/>
    <w:rsid w:val="476862FA"/>
    <w:rsid w:val="4E1F3254"/>
    <w:rsid w:val="54E23C75"/>
    <w:rsid w:val="57343C9A"/>
    <w:rsid w:val="582671CC"/>
    <w:rsid w:val="60DF4DDA"/>
    <w:rsid w:val="66304115"/>
    <w:rsid w:val="66AB6D11"/>
    <w:rsid w:val="672002AE"/>
    <w:rsid w:val="6A5F6B5C"/>
    <w:rsid w:val="6AF428B7"/>
    <w:rsid w:val="6B3123C8"/>
    <w:rsid w:val="6C97799E"/>
    <w:rsid w:val="6EC30F1E"/>
    <w:rsid w:val="6F1E6154"/>
    <w:rsid w:val="706F207D"/>
    <w:rsid w:val="7312415B"/>
    <w:rsid w:val="7743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公文标题"/>
    <w:basedOn w:val="1"/>
    <w:autoRedefine/>
    <w:qFormat/>
    <w:uiPriority w:val="0"/>
    <w:pPr>
      <w:spacing w:line="600" w:lineRule="exact"/>
      <w:ind w:firstLine="0" w:firstLineChars="0"/>
      <w:jc w:val="center"/>
    </w:pPr>
    <w:rPr>
      <w:rFonts w:hint="eastAsia" w:ascii="仿宋_GB2312" w:hAnsi="仿宋_GB2312" w:eastAsia="方正小标宋简体" w:cs="仿宋_GB2312"/>
      <w:sz w:val="44"/>
      <w:szCs w:val="32"/>
    </w:rPr>
  </w:style>
  <w:style w:type="paragraph" w:customStyle="1" w:styleId="8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1378</Words>
  <Characters>1433</Characters>
  <Lines>1</Lines>
  <Paragraphs>1</Paragraphs>
  <TotalTime>0</TotalTime>
  <ScaleCrop>false</ScaleCrop>
  <LinksUpToDate>false</LinksUpToDate>
  <CharactersWithSpaces>1461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2024-07-09T01:34:00Z</dcterms:created>
  <dc:creator>杜张磊</dc:creator>
  <cp:lastModifiedBy>小橙子</cp:lastModifiedBy>
  <dcterms:modified xsi:type="dcterms:W3CDTF">2024-09-19T06:38:23Z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E7EDE3BBF92A4C57B872FD1269154472_12</vt:lpwstr>
  </property>
</Properties>
</file>